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26" w:rsidRDefault="00AC0326">
      <w:pPr>
        <w:rPr>
          <w:sz w:val="30"/>
          <w:szCs w:val="30"/>
        </w:rPr>
      </w:pPr>
      <w:bookmarkStart w:id="0" w:name="_GoBack"/>
      <w:bookmarkEnd w:id="0"/>
    </w:p>
    <w:p w:rsidR="00AC0326" w:rsidRDefault="00547872">
      <w:pPr>
        <w:rPr>
          <w:sz w:val="30"/>
          <w:szCs w:val="30"/>
        </w:rPr>
      </w:pPr>
      <w:r>
        <w:rPr>
          <w:sz w:val="30"/>
          <w:szCs w:val="30"/>
        </w:rPr>
        <w:t xml:space="preserve">Specialundervisning i almenskolen – folkeskolelovens § 3 stk.2 </w:t>
      </w:r>
    </w:p>
    <w:p w:rsidR="00AC0326" w:rsidRDefault="00AC0326"/>
    <w:p w:rsidR="00AC0326" w:rsidRDefault="00547872">
      <w:pPr>
        <w:rPr>
          <w:b/>
        </w:rPr>
      </w:pPr>
      <w:r>
        <w:rPr>
          <w:b/>
        </w:rPr>
        <w:t>Indledning</w:t>
      </w:r>
    </w:p>
    <w:p w:rsidR="00AC0326" w:rsidRDefault="00547872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Specialundervisning og anden specialpædagogisk bistand gives typisk i specialklasser og specialskoler. Der er dog </w:t>
      </w:r>
      <w:r>
        <w:rPr>
          <w:rFonts w:ascii="Tahoma" w:eastAsia="Tahoma" w:hAnsi="Tahoma" w:cs="Tahoma"/>
          <w:i/>
          <w:color w:val="000000"/>
          <w:sz w:val="19"/>
          <w:szCs w:val="19"/>
          <w:highlight w:val="white"/>
        </w:rPr>
        <w:t>også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 tale om specialundervisning eller anden specialpædagogisk bistand, hvis undervisningen i den almindelige klasse kun kan gennemføres med støtte jf. folkeskolelovens § 3 stk. 2. </w:t>
      </w:r>
    </w:p>
    <w:p w:rsidR="00AC0326" w:rsidRDefault="00547872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Dokumentet indeholder en beskrivelse af, hvordan der visiteres til denne type 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specialundervisning, ligesom den indeholder en skabelon til handleplan, der fremover bliver obligatorisk at anvende, når en elev visiteres til specialundervisning i almenskolen. </w:t>
      </w:r>
    </w:p>
    <w:p w:rsidR="00AC0326" w:rsidRDefault="00AC0326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bookmarkStart w:id="1" w:name="_gjdgxs" w:colFirst="0" w:colLast="0"/>
      <w:bookmarkEnd w:id="1"/>
    </w:p>
    <w:p w:rsidR="00AC0326" w:rsidRDefault="00547872">
      <w:pPr>
        <w:rPr>
          <w:b/>
        </w:rPr>
      </w:pPr>
      <w:r>
        <w:rPr>
          <w:b/>
        </w:rPr>
        <w:t>Visitering</w:t>
      </w:r>
    </w:p>
    <w:p w:rsidR="00AC0326" w:rsidRDefault="00547872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>Følgende proces går forud for en eventuel visitering til specialu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>ndervisning i almenskolen:</w:t>
      </w:r>
    </w:p>
    <w:p w:rsidR="00AC0326" w:rsidRDefault="00547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b/>
          <w:color w:val="000000"/>
          <w:sz w:val="19"/>
          <w:szCs w:val="19"/>
          <w:highlight w:val="white"/>
        </w:rPr>
        <w:t xml:space="preserve">Konsultativ drøftelse 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på KIM-møde. </w:t>
      </w:r>
    </w:p>
    <w:p w:rsidR="00AC0326" w:rsidRDefault="00547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rFonts w:ascii="Tahoma" w:eastAsia="Tahoma" w:hAnsi="Tahoma" w:cs="Tahoma"/>
          <w:color w:val="000000"/>
          <w:sz w:val="16"/>
          <w:szCs w:val="16"/>
          <w:highlight w:val="white"/>
        </w:rPr>
      </w:pPr>
      <w:r>
        <w:rPr>
          <w:rFonts w:ascii="Tahoma" w:eastAsia="Tahoma" w:hAnsi="Tahoma" w:cs="Tahoma"/>
          <w:color w:val="000000"/>
          <w:sz w:val="16"/>
          <w:szCs w:val="16"/>
          <w:highlight w:val="white"/>
        </w:rPr>
        <w:t>OBS! Det forventes, at der gennemføres en række indsatser i klassen før der udarbejdes indstilling.</w:t>
      </w:r>
    </w:p>
    <w:p w:rsidR="00AC0326" w:rsidRDefault="00547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>Skolen laver en</w:t>
      </w:r>
      <w:r>
        <w:rPr>
          <w:rFonts w:ascii="Tahoma" w:eastAsia="Tahoma" w:hAnsi="Tahoma" w:cs="Tahoma"/>
          <w:b/>
          <w:color w:val="000000"/>
          <w:sz w:val="19"/>
          <w:szCs w:val="19"/>
          <w:highlight w:val="white"/>
        </w:rPr>
        <w:t xml:space="preserve"> indstilling til PPR.</w:t>
      </w:r>
    </w:p>
    <w:p w:rsidR="00AC0326" w:rsidRDefault="00547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Der udarbejdes en </w:t>
      </w:r>
      <w:r>
        <w:rPr>
          <w:rFonts w:ascii="Tahoma" w:eastAsia="Tahoma" w:hAnsi="Tahoma" w:cs="Tahoma"/>
          <w:b/>
          <w:color w:val="000000"/>
          <w:sz w:val="19"/>
          <w:szCs w:val="19"/>
          <w:highlight w:val="white"/>
        </w:rPr>
        <w:t>PPV.</w:t>
      </w:r>
    </w:p>
    <w:p w:rsidR="00AC0326" w:rsidRDefault="005478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Drøftelse i det </w:t>
      </w:r>
      <w:r>
        <w:rPr>
          <w:rFonts w:ascii="Tahoma" w:eastAsia="Tahoma" w:hAnsi="Tahoma" w:cs="Tahoma"/>
          <w:b/>
          <w:color w:val="000000"/>
          <w:sz w:val="19"/>
          <w:szCs w:val="19"/>
          <w:highlight w:val="white"/>
        </w:rPr>
        <w:t>centrale visitationsudvalg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 med henblik på vurdering af behovet for specialundervisning og anden specialpædagogisk bistand. </w:t>
      </w:r>
    </w:p>
    <w:p w:rsidR="00AC0326" w:rsidRDefault="00AC0326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</w:p>
    <w:p w:rsidR="00AC0326" w:rsidRDefault="00547872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Et barn kan indstilles af skoleleder til drøftelse i det centrale visitationsudvalg på baggrund af dialog med PPR. Såfremt et barn 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på baggrund af undervisningsmæssige behov beskrevet i pædagogisk psykologisk vurdering og vd 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lastRenderedPageBreak/>
        <w:t>efterfølgende visitation vurderes at være omfattet af retten til specialundervisning i almenskolen, påhviler det skolelederen at sikre en understøttende undervisni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ngskontekst i henhold til konkrete beslutninger og anvisninger på visitationsdrøftelsen, samt på baggrund af konkret handleplan. </w:t>
      </w:r>
      <w:r>
        <w:rPr>
          <w:rFonts w:ascii="Tahoma" w:eastAsia="Tahoma" w:hAnsi="Tahoma" w:cs="Tahoma"/>
          <w:sz w:val="19"/>
          <w:szCs w:val="19"/>
        </w:rPr>
        <w:t>Det er skolelederen, der disponerer over de allokerede resurser under iagttagelse af barnets behov. Indsatser kan udmøntes på k</w:t>
      </w:r>
      <w:r>
        <w:rPr>
          <w:rFonts w:ascii="Tahoma" w:eastAsia="Tahoma" w:hAnsi="Tahoma" w:cs="Tahoma"/>
          <w:sz w:val="19"/>
          <w:szCs w:val="19"/>
        </w:rPr>
        <w:t>lasse-, hold/gruppe-, eller individniveau i eller med tilknytning til undervisningen i almenskolen. Indsatsen vil som udgangspunkt være rettet mod de læringsfællesskaber, som eleven er del af (trin 1), og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 i den form der bedst imødekommer elevens behov. Sko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>lelederen sikrer dette ved løbende at søge dialog med PPR og elevens støttebehov revurderes min. én gang årligt. Der skal afholdes løbende evalueringer i intervaller af tre til seks måneder.</w:t>
      </w:r>
    </w:p>
    <w:p w:rsidR="00AC0326" w:rsidRDefault="00AC0326">
      <w:pPr>
        <w:rPr>
          <w:b/>
        </w:rPr>
      </w:pPr>
    </w:p>
    <w:p w:rsidR="00AC0326" w:rsidRDefault="00547872">
      <w:pPr>
        <w:rPr>
          <w:b/>
        </w:rPr>
      </w:pPr>
      <w:r>
        <w:rPr>
          <w:b/>
        </w:rPr>
        <w:t>Økonomi</w:t>
      </w:r>
    </w:p>
    <w:p w:rsidR="00AC0326" w:rsidRDefault="00547872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>Ressourcen til specialundervisningsindsats i almen</w:t>
      </w:r>
      <w:r>
        <w:rPr>
          <w:rFonts w:ascii="Tahoma" w:eastAsia="Tahoma" w:hAnsi="Tahoma" w:cs="Tahoma"/>
          <w:sz w:val="19"/>
          <w:szCs w:val="19"/>
          <w:highlight w:val="white"/>
        </w:rPr>
        <w:t>skolen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 er tildelt skolerne forlods som en del af den samlede ressource til arbejdet med mangfoldige læringsmiljøer. </w:t>
      </w:r>
    </w:p>
    <w:p w:rsidR="00AC0326" w:rsidRDefault="00AC0326">
      <w:pPr>
        <w:rPr>
          <w:b/>
        </w:rPr>
      </w:pPr>
    </w:p>
    <w:p w:rsidR="00AC0326" w:rsidRDefault="00547872">
      <w:pPr>
        <w:tabs>
          <w:tab w:val="left" w:pos="6807"/>
        </w:tabs>
        <w:rPr>
          <w:b/>
        </w:rPr>
      </w:pPr>
      <w:r>
        <w:rPr>
          <w:b/>
        </w:rPr>
        <w:t>Rollefordeling</w:t>
      </w:r>
      <w:r>
        <w:rPr>
          <w:b/>
        </w:rPr>
        <w:tab/>
      </w:r>
    </w:p>
    <w:p w:rsidR="00AC0326" w:rsidRDefault="00547872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>Når en elev er visiteret til specialundervisning i almenskolen, er skolen ansvarlig for at udfylde og følge op ved brug af den f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ælleskommunale handleplan for specialundervisning i almen. Handleplanen udfyldes i samarbejde med PPR. I den forbindelse aftales PPR’s rådgivende rolle i forhold til at understøtte ledelse og medarbejdere i processen. </w:t>
      </w:r>
    </w:p>
    <w:p w:rsidR="00AC0326" w:rsidRDefault="00AC0326">
      <w:pPr>
        <w:rPr>
          <w:b/>
        </w:rPr>
      </w:pPr>
    </w:p>
    <w:p w:rsidR="00AC0326" w:rsidRDefault="00547872">
      <w:pPr>
        <w:rPr>
          <w:b/>
        </w:rPr>
      </w:pPr>
      <w:r>
        <w:rPr>
          <w:b/>
        </w:rPr>
        <w:t>Dataopbevaring</w:t>
      </w:r>
    </w:p>
    <w:p w:rsidR="00AC0326" w:rsidRDefault="00547872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>Handleplanen opbevare</w:t>
      </w: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 xml:space="preserve">s i elevmappen i Acadre samt i barnets PPR-sag. </w:t>
      </w:r>
    </w:p>
    <w:p w:rsidR="00AC0326" w:rsidRDefault="00AC0326">
      <w:pPr>
        <w:spacing w:after="200"/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spacing w:after="200"/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spacing w:after="200"/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spacing w:after="200"/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spacing w:after="200"/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spacing w:after="200"/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spacing w:after="200"/>
        <w:rPr>
          <w:rFonts w:ascii="Tahoma" w:eastAsia="Tahoma" w:hAnsi="Tahoma" w:cs="Tahoma"/>
          <w:sz w:val="19"/>
          <w:szCs w:val="19"/>
        </w:rPr>
      </w:pPr>
    </w:p>
    <w:p w:rsidR="00AC0326" w:rsidRDefault="00547872">
      <w:pPr>
        <w:spacing w:after="200"/>
        <w:rPr>
          <w:b/>
        </w:rPr>
      </w:pPr>
      <w:r>
        <w:rPr>
          <w:b/>
        </w:rPr>
        <w:t>Skitsering af indsatsniveau for specialundervisning i almenskolen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3812</wp:posOffset>
            </wp:positionH>
            <wp:positionV relativeFrom="paragraph">
              <wp:posOffset>295910</wp:posOffset>
            </wp:positionV>
            <wp:extent cx="6120130" cy="3674745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74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326" w:rsidRDefault="00547872">
      <w:pPr>
        <w:spacing w:after="200"/>
        <w:rPr>
          <w:rFonts w:ascii="Tahoma" w:eastAsia="Tahoma" w:hAnsi="Tahoma" w:cs="Tahoma"/>
          <w:b/>
          <w:sz w:val="19"/>
          <w:szCs w:val="19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2947035</wp:posOffset>
            </wp:positionH>
            <wp:positionV relativeFrom="paragraph">
              <wp:posOffset>6731000</wp:posOffset>
            </wp:positionV>
            <wp:extent cx="1953260" cy="717227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7172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4944110</wp:posOffset>
            </wp:positionH>
            <wp:positionV relativeFrom="paragraph">
              <wp:posOffset>5922645</wp:posOffset>
            </wp:positionV>
            <wp:extent cx="1296035" cy="1379220"/>
            <wp:effectExtent l="0" t="0" r="0" b="0"/>
            <wp:wrapSquare wrapText="bothSides" distT="0" distB="0" distL="114300" distR="114300"/>
            <wp:docPr id="6" name="image4.jpg" descr="C:\Users\DILEFR\AppData\Local\Microsoft\Windows\INetCache\Content.Outlook\18MWNF0Z\logo_hvid_baggr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DILEFR\AppData\Local\Microsoft\Windows\INetCache\Content.Outlook\18MWNF0Z\logo_hvid_baggrund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379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326" w:rsidRDefault="00AC0326">
      <w:pPr>
        <w:rPr>
          <w:sz w:val="32"/>
          <w:szCs w:val="32"/>
        </w:rPr>
      </w:pPr>
    </w:p>
    <w:p w:rsidR="00AC0326" w:rsidRDefault="00547872">
      <w:pPr>
        <w:rPr>
          <w:sz w:val="32"/>
          <w:szCs w:val="32"/>
        </w:rPr>
      </w:pPr>
      <w:r>
        <w:rPr>
          <w:sz w:val="32"/>
          <w:szCs w:val="32"/>
        </w:rPr>
        <w:t>Handleplan - specialundervisning i almenskolen § 3 stk.2</w:t>
      </w:r>
    </w:p>
    <w:p w:rsidR="00AC0326" w:rsidRDefault="00547872">
      <w:pPr>
        <w:rPr>
          <w:sz w:val="32"/>
          <w:szCs w:val="32"/>
        </w:rPr>
      </w:pPr>
      <w:r>
        <w:rPr>
          <w:color w:val="4F81BD"/>
          <w:sz w:val="32"/>
          <w:szCs w:val="32"/>
        </w:rPr>
        <w:t>Skolenavn:</w:t>
      </w:r>
      <w:r>
        <w:rPr>
          <w:sz w:val="32"/>
          <w:szCs w:val="32"/>
        </w:rPr>
        <w:t xml:space="preserve"> </w:t>
      </w:r>
    </w:p>
    <w:p w:rsidR="00AC0326" w:rsidRDefault="00AC0326">
      <w:pPr>
        <w:rPr>
          <w:sz w:val="32"/>
          <w:szCs w:val="32"/>
        </w:rPr>
      </w:pPr>
    </w:p>
    <w:p w:rsidR="00AC0326" w:rsidRDefault="00547872">
      <w:pPr>
        <w:rPr>
          <w:rFonts w:ascii="Tahoma" w:eastAsia="Tahoma" w:hAnsi="Tahoma" w:cs="Tahoma"/>
          <w:color w:val="000000"/>
          <w:sz w:val="19"/>
          <w:szCs w:val="19"/>
          <w:highlight w:val="white"/>
        </w:rPr>
      </w:pPr>
      <w:r>
        <w:rPr>
          <w:rFonts w:ascii="Tahoma" w:eastAsia="Tahoma" w:hAnsi="Tahoma" w:cs="Tahoma"/>
          <w:color w:val="000000"/>
          <w:sz w:val="19"/>
          <w:szCs w:val="19"/>
          <w:highlight w:val="white"/>
        </w:rPr>
        <w:t>Handleplanen tager udgangspunkt i SMITTE-modellen</w:t>
      </w:r>
    </w:p>
    <w:p w:rsidR="00AC0326" w:rsidRDefault="00547872">
      <w:pPr>
        <w:rPr>
          <w:rFonts w:ascii="Tahoma" w:eastAsia="Tahoma" w:hAnsi="Tahoma" w:cs="Tahoma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165100</wp:posOffset>
                </wp:positionV>
                <wp:extent cx="3657600" cy="25717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571750"/>
                          <a:chOff x="3517200" y="2494125"/>
                          <a:chExt cx="3657600" cy="2571750"/>
                        </a:xfrm>
                      </wpg:grpSpPr>
                      <wpg:grpSp>
                        <wpg:cNvPr id="4" name="Gruppe 4"/>
                        <wpg:cNvGrpSpPr/>
                        <wpg:grpSpPr>
                          <a:xfrm>
                            <a:off x="3517200" y="2494125"/>
                            <a:ext cx="3657600" cy="2571750"/>
                            <a:chOff x="3517200" y="2494125"/>
                            <a:chExt cx="3657600" cy="2571750"/>
                          </a:xfrm>
                        </wpg:grpSpPr>
                        <wps:wsp>
                          <wps:cNvPr id="5" name="Rektangel 5"/>
                          <wps:cNvSpPr/>
                          <wps:spPr>
                            <a:xfrm>
                              <a:off x="3517200" y="2494125"/>
                              <a:ext cx="3657600" cy="2571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0326" w:rsidRDefault="00AC0326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Gruppe 7"/>
                          <wpg:cNvGrpSpPr/>
                          <wpg:grpSpPr>
                            <a:xfrm>
                              <a:off x="3517200" y="2494125"/>
                              <a:ext cx="3657600" cy="2571750"/>
                              <a:chOff x="0" y="0"/>
                              <a:chExt cx="3657600" cy="2571750"/>
                            </a:xfrm>
                          </wpg:grpSpPr>
                          <wps:wsp>
                            <wps:cNvPr id="8" name="Rektangel 8"/>
                            <wps:cNvSpPr/>
                            <wps:spPr>
                              <a:xfrm>
                                <a:off x="0" y="0"/>
                                <a:ext cx="3657600" cy="2571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C0326" w:rsidRDefault="00AC0326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6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75" y="304800"/>
                                <a:ext cx="2152650" cy="2029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0" name="Rektangel 10"/>
                            <wps:cNvSpPr/>
                            <wps:spPr>
                              <a:xfrm>
                                <a:off x="0" y="914400"/>
                                <a:ext cx="9048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326" w:rsidRDefault="0054787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5 Evaluering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1" name="Rektangel 11"/>
                            <wps:cNvSpPr/>
                            <wps:spPr>
                              <a:xfrm>
                                <a:off x="904875" y="2276475"/>
                                <a:ext cx="6191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326" w:rsidRDefault="0054787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4. Tiltag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2" name="Rektangel 12"/>
                            <wps:cNvSpPr/>
                            <wps:spPr>
                              <a:xfrm>
                                <a:off x="2457450" y="228600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326" w:rsidRDefault="0054787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3. Tegn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3" name="Rektangel 13"/>
                            <wps:cNvSpPr/>
                            <wps:spPr>
                              <a:xfrm>
                                <a:off x="3057525" y="91440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326" w:rsidRDefault="0054787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 xml:space="preserve">2. Mål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4" name="Rektangel 14"/>
                            <wps:cNvSpPr/>
                            <wps:spPr>
                              <a:xfrm>
                                <a:off x="1457325" y="0"/>
                                <a:ext cx="1104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AC0326" w:rsidRDefault="00547872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</w:rPr>
                                    <w:t>1. Sammenhæng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165100</wp:posOffset>
                </wp:positionV>
                <wp:extent cx="3657600" cy="257175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57600" cy="257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p w:rsidR="00AC0326" w:rsidRDefault="0054787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color w:val="366091"/>
          <w:sz w:val="20"/>
          <w:szCs w:val="20"/>
        </w:rPr>
        <w:t>Elevens navn og cpr.nr.</w:t>
      </w:r>
      <w:r>
        <w:rPr>
          <w:rFonts w:ascii="Tahoma" w:eastAsia="Tahoma" w:hAnsi="Tahoma" w:cs="Tahoma"/>
          <w:sz w:val="20"/>
          <w:szCs w:val="20"/>
        </w:rPr>
        <w:t>: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:rsidR="00AC0326" w:rsidRDefault="00547872">
      <w:pPr>
        <w:rPr>
          <w:rFonts w:ascii="Tahoma" w:eastAsia="Tahoma" w:hAnsi="Tahoma" w:cs="Tahoma"/>
          <w:b/>
          <w:color w:val="366091"/>
          <w:sz w:val="20"/>
          <w:szCs w:val="20"/>
        </w:rPr>
      </w:pPr>
      <w:r>
        <w:rPr>
          <w:rFonts w:ascii="Tahoma" w:eastAsia="Tahoma" w:hAnsi="Tahoma" w:cs="Tahoma"/>
          <w:b/>
          <w:color w:val="366091"/>
          <w:sz w:val="20"/>
          <w:szCs w:val="20"/>
        </w:rPr>
        <w:t>Klasse:</w:t>
      </w:r>
      <w:r>
        <w:rPr>
          <w:rFonts w:ascii="Tahoma" w:eastAsia="Tahoma" w:hAnsi="Tahoma" w:cs="Tahoma"/>
          <w:b/>
          <w:color w:val="366091"/>
          <w:sz w:val="20"/>
          <w:szCs w:val="20"/>
        </w:rPr>
        <w:tab/>
      </w:r>
      <w:r>
        <w:rPr>
          <w:rFonts w:ascii="Tahoma" w:eastAsia="Tahoma" w:hAnsi="Tahoma" w:cs="Tahoma"/>
          <w:b/>
          <w:color w:val="366091"/>
          <w:sz w:val="20"/>
          <w:szCs w:val="20"/>
        </w:rPr>
        <w:tab/>
        <w:t>Elevens kontaktlærer: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:rsidR="00AC0326" w:rsidRDefault="00AC0326">
      <w:pPr>
        <w:rPr>
          <w:rFonts w:ascii="Tahoma" w:eastAsia="Tahoma" w:hAnsi="Tahoma" w:cs="Tahoma"/>
          <w:sz w:val="19"/>
          <w:szCs w:val="19"/>
        </w:rPr>
      </w:pPr>
      <w:bookmarkStart w:id="2" w:name="_30j0zll" w:colFirst="0" w:colLast="0"/>
      <w:bookmarkEnd w:id="2"/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0326">
        <w:tc>
          <w:tcPr>
            <w:tcW w:w="9628" w:type="dxa"/>
          </w:tcPr>
          <w:p w:rsidR="00AC0326" w:rsidRDefault="00547872">
            <w:pPr>
              <w:rPr>
                <w:rFonts w:ascii="Tahoma" w:eastAsia="Tahoma" w:hAnsi="Tahoma" w:cs="Tahoma"/>
                <w:color w:val="366091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66091"/>
                <w:sz w:val="19"/>
                <w:szCs w:val="19"/>
              </w:rPr>
              <w:t>1. Sammenhæng</w:t>
            </w:r>
          </w:p>
          <w:p w:rsidR="00AC0326" w:rsidRDefault="00547872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Her beskrives den kontekst, der omgiver den konkrete elev. Herunder det konkrete læringsmiljø, relationer m.v.</w:t>
            </w:r>
          </w:p>
          <w:p w:rsidR="00AC0326" w:rsidRDefault="00AC0326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</w:tbl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0326">
        <w:tc>
          <w:tcPr>
            <w:tcW w:w="9628" w:type="dxa"/>
          </w:tcPr>
          <w:p w:rsidR="00AC0326" w:rsidRDefault="00547872">
            <w:pPr>
              <w:rPr>
                <w:rFonts w:ascii="Tahoma" w:eastAsia="Tahoma" w:hAnsi="Tahoma" w:cs="Tahoma"/>
                <w:color w:val="366091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66091"/>
                <w:sz w:val="19"/>
                <w:szCs w:val="19"/>
              </w:rPr>
              <w:t>2. Mål</w:t>
            </w:r>
          </w:p>
          <w:p w:rsidR="00AC0326" w:rsidRDefault="00547872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Her beskrives de mål, eller den udvikling, man ønsker at se hos den konkrete elev.</w:t>
            </w:r>
          </w:p>
          <w:p w:rsidR="00AC0326" w:rsidRDefault="00AC0326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</w:tbl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0326">
        <w:tc>
          <w:tcPr>
            <w:tcW w:w="9628" w:type="dxa"/>
          </w:tcPr>
          <w:p w:rsidR="00AC0326" w:rsidRDefault="00547872">
            <w:pPr>
              <w:rPr>
                <w:rFonts w:ascii="Tahoma" w:eastAsia="Tahoma" w:hAnsi="Tahoma" w:cs="Tahoma"/>
                <w:color w:val="366091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66091"/>
                <w:sz w:val="19"/>
                <w:szCs w:val="19"/>
              </w:rPr>
              <w:t>3. Tegn</w:t>
            </w:r>
          </w:p>
          <w:p w:rsidR="00AC0326" w:rsidRDefault="00547872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Her beskrives tegn, der kan indikerer, at den konkrete elev har opnået de ønskede mål.</w:t>
            </w:r>
          </w:p>
          <w:p w:rsidR="00AC0326" w:rsidRDefault="00AC0326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</w:tbl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0326">
        <w:tc>
          <w:tcPr>
            <w:tcW w:w="9628" w:type="dxa"/>
          </w:tcPr>
          <w:p w:rsidR="00AC0326" w:rsidRDefault="00547872">
            <w:pPr>
              <w:rPr>
                <w:rFonts w:ascii="Tahoma" w:eastAsia="Tahoma" w:hAnsi="Tahoma" w:cs="Tahoma"/>
                <w:color w:val="366091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66091"/>
                <w:sz w:val="19"/>
                <w:szCs w:val="19"/>
              </w:rPr>
              <w:t>4. Tiltag</w:t>
            </w:r>
          </w:p>
          <w:p w:rsidR="00AC0326" w:rsidRDefault="00547872">
            <w:pPr>
              <w:rPr>
                <w:rFonts w:ascii="Tahoma" w:eastAsia="Tahoma" w:hAnsi="Tahoma" w:cs="Tahoma"/>
                <w:color w:val="366091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Her beskrives hvilke konkrete tiltag, ændringer der skal afprøves i læringsmiljøet. Altså en konkrete handleplan for de fagprofessionelle omkring barnet. </w:t>
            </w:r>
          </w:p>
          <w:p w:rsidR="00AC0326" w:rsidRDefault="00AC0326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</w:tbl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AC0326">
        <w:tc>
          <w:tcPr>
            <w:tcW w:w="9628" w:type="dxa"/>
          </w:tcPr>
          <w:p w:rsidR="00AC0326" w:rsidRDefault="00547872">
            <w:pPr>
              <w:rPr>
                <w:rFonts w:ascii="Tahoma" w:eastAsia="Tahoma" w:hAnsi="Tahoma" w:cs="Tahoma"/>
                <w:color w:val="366091"/>
                <w:sz w:val="19"/>
                <w:szCs w:val="19"/>
              </w:rPr>
            </w:pPr>
            <w:r>
              <w:rPr>
                <w:rFonts w:ascii="Tahoma" w:eastAsia="Tahoma" w:hAnsi="Tahoma" w:cs="Tahoma"/>
                <w:color w:val="366091"/>
                <w:sz w:val="19"/>
                <w:szCs w:val="19"/>
              </w:rPr>
              <w:t>5. Evaluering</w:t>
            </w:r>
          </w:p>
          <w:p w:rsidR="00AC0326" w:rsidRDefault="00547872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Dato for næste møde: </w:t>
            </w:r>
          </w:p>
          <w:p w:rsidR="00AC0326" w:rsidRDefault="00547872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Aftale om, hvilke data der skal indgå i evalueringen: </w:t>
            </w:r>
          </w:p>
          <w:p w:rsidR="00AC0326" w:rsidRDefault="00AC0326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</w:tbl>
    <w:p w:rsidR="00AC0326" w:rsidRDefault="00AC0326">
      <w:pPr>
        <w:rPr>
          <w:rFonts w:ascii="Tahoma" w:eastAsia="Tahoma" w:hAnsi="Tahoma" w:cs="Tahoma"/>
          <w:sz w:val="19"/>
          <w:szCs w:val="19"/>
        </w:rPr>
      </w:pPr>
    </w:p>
    <w:sectPr w:rsidR="00AC0326">
      <w:headerReference w:type="default" r:id="rId12"/>
      <w:headerReference w:type="first" r:id="rId13"/>
      <w:footerReference w:type="first" r:id="rId14"/>
      <w:pgSz w:w="11906" w:h="16838"/>
      <w:pgMar w:top="1701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7872">
      <w:pPr>
        <w:spacing w:line="240" w:lineRule="auto"/>
      </w:pPr>
      <w:r>
        <w:separator/>
      </w:r>
    </w:p>
  </w:endnote>
  <w:endnote w:type="continuationSeparator" w:id="0">
    <w:p w:rsidR="00000000" w:rsidRDefault="00547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26" w:rsidRDefault="005478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t>Sagsnr.: Acadresagsnr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Side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af </w:t>
    </w: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NUMPAGES</w:instrText>
    </w:r>
    <w:r>
      <w:rPr>
        <w:color w:val="000000"/>
        <w:sz w:val="16"/>
        <w:szCs w:val="16"/>
      </w:rPr>
      <w:fldChar w:fldCharType="separate"/>
    </w:r>
    <w:r>
      <w:rPr>
        <w:noProof/>
        <w:color w:val="000000"/>
        <w:sz w:val="16"/>
        <w:szCs w:val="16"/>
      </w:rPr>
      <w:t>3</w:t>
    </w:r>
    <w:r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7872">
      <w:pPr>
        <w:spacing w:line="240" w:lineRule="auto"/>
      </w:pPr>
      <w:r>
        <w:separator/>
      </w:r>
    </w:p>
  </w:footnote>
  <w:footnote w:type="continuationSeparator" w:id="0">
    <w:p w:rsidR="00000000" w:rsidRDefault="00547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26" w:rsidRDefault="005478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color w:val="000000"/>
      </w:rPr>
      <w:t>Februar 2020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4705985</wp:posOffset>
          </wp:positionH>
          <wp:positionV relativeFrom="paragraph">
            <wp:posOffset>-210182</wp:posOffset>
          </wp:positionV>
          <wp:extent cx="1685290" cy="687070"/>
          <wp:effectExtent l="0" t="0" r="0" b="0"/>
          <wp:wrapSquare wrapText="bothSides" distT="0" distB="0" distL="114300" distR="114300"/>
          <wp:docPr id="4" name="image3.jpg" descr="NYS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YSV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29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26" w:rsidRDefault="0054787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t>Marts</w:t>
    </w:r>
    <w:r>
      <w:rPr>
        <w:color w:val="000000"/>
      </w:rPr>
      <w:t xml:space="preserve"> 2020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4594860</wp:posOffset>
          </wp:positionH>
          <wp:positionV relativeFrom="paragraph">
            <wp:posOffset>-192403</wp:posOffset>
          </wp:positionV>
          <wp:extent cx="1685290" cy="687070"/>
          <wp:effectExtent l="0" t="0" r="0" b="0"/>
          <wp:wrapSquare wrapText="bothSides" distT="0" distB="0" distL="114300" distR="114300"/>
          <wp:docPr id="5" name="image3.jpg" descr="NYS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NYSV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529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C0326" w:rsidRDefault="00AC03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B3E"/>
    <w:multiLevelType w:val="multilevel"/>
    <w:tmpl w:val="9992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26"/>
    <w:rsid w:val="00547872"/>
    <w:rsid w:val="00AC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38FD-0D55-4E18-9124-5049F0C0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/>
      <w:outlineLvl w:val="0"/>
    </w:pPr>
    <w:rPr>
      <w:b/>
    </w:rPr>
  </w:style>
  <w:style w:type="paragraph" w:styleId="Overskrift2">
    <w:name w:val="heading 2"/>
    <w:basedOn w:val="Normal"/>
    <w:next w:val="Normal"/>
    <w:pPr>
      <w:keepNext/>
      <w:keepLines/>
      <w:spacing w:before="200"/>
      <w:outlineLvl w:val="1"/>
    </w:pPr>
    <w:rPr>
      <w:b/>
      <w:sz w:val="28"/>
      <w:szCs w:val="28"/>
    </w:rPr>
  </w:style>
  <w:style w:type="paragraph" w:styleId="Overskrift3">
    <w:name w:val="heading 3"/>
    <w:basedOn w:val="Normal"/>
    <w:next w:val="Normal"/>
    <w:pPr>
      <w:keepNext/>
      <w:keepLines/>
      <w:spacing w:before="200"/>
      <w:outlineLvl w:val="2"/>
    </w:pPr>
    <w:rPr>
      <w:b/>
      <w:sz w:val="24"/>
      <w:szCs w:val="24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3140</Characters>
  <Application>Microsoft Office Word</Application>
  <DocSecurity>4</DocSecurity>
  <Lines>101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Juul Eriksen</dc:creator>
  <cp:lastModifiedBy>Lene Juul Eriksen</cp:lastModifiedBy>
  <cp:revision>2</cp:revision>
  <dcterms:created xsi:type="dcterms:W3CDTF">2020-03-23T11:37:00Z</dcterms:created>
  <dcterms:modified xsi:type="dcterms:W3CDTF">2020-03-23T11:37:00Z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{822B9F54-28B3-486F-ABE8-5BC89ED2516B}</vt:lpwstr>
  </property>
</Properties>
</file>